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nomina-a-responsabile-del-trattamento"/>
      <w:r>
        <w:rPr>
          <w:color w:val="1F4E79"/>
        </w:rPr>
        <w:t xml:space="preserve">Nomina a Responsabile del trattamento</w:t>
      </w:r>
      <w:bookmarkEnd w:id="20"/>
    </w:p>
    <w:p>
      <w:pPr>
        <w:pStyle w:val="FirstParagraph"/>
      </w:pPr>
      <w:r>
        <w:rPr>
          <w:i/>
        </w:rPr>
        <w:t xml:space="preserve">Accordo ex art. 28 GDPR — SegnaPresenze</w:t>
      </w:r>
    </w:p>
    <w:p>
      <w:pPr>
        <w:pStyle w:val="BodyText"/>
      </w:pPr>
      <w:r>
        <w:rPr>
          <w:b/>
        </w:rPr>
        <w:t xml:space="preserve">[Documento modificabile: personalizzare i campi tra parentesi o con la riga ____ prima dell'uso. Si raccomanda la revisione da parte di un legale o del proprio consulente.]</w:t>
      </w:r>
    </w:p>
    <w:p>
      <w:pPr>
        <w:pStyle w:val="BodyText"/>
      </w:pPr>
      <w:r>
        <w:t xml:space="preserve">ai sensi dell'art. 28 del Regolamento (UE) 2016/679 («GDPR») relativo al servizio</w:t>
      </w:r>
      <w:r>
        <w:t xml:space="preserve"> </w:t>
      </w:r>
      <w:r>
        <w:rPr>
          <w:b/>
        </w:rPr>
        <w:t xml:space="preserve">SegnaPresenze</w:t>
      </w:r>
      <w:r>
        <w:t xml:space="preserve"> </w:t>
      </w:r>
      <w:r>
        <w:t xml:space="preserve">(rilevazione presenze con badge RFID)</w:t>
      </w:r>
    </w:p>
    <w:p>
      <w:pPr>
        <w:pStyle w:val="Heading2"/>
      </w:pPr>
      <w:bookmarkStart w:id="21" w:name="parti"/>
      <w:r>
        <w:rPr>
          <w:color w:val="1F4E79"/>
        </w:rPr>
        <w:t xml:space="preserve">Parti</w:t>
      </w:r>
      <w:bookmarkEnd w:id="21"/>
    </w:p>
    <w:p>
      <w:pPr>
        <w:pStyle w:val="FirstParagraph"/>
      </w:pPr>
      <w:r>
        <w:rPr>
          <w:b/>
        </w:rPr>
        <w:t xml:space="preserve">Titolare del trattamento («Cliente»)</w:t>
      </w:r>
      <w:r>
        <w:t xml:space="preserve">: ________________ con sede in ________________, P.IVA ________________, rappresentata da ________________.</w:t>
      </w:r>
    </w:p>
    <w:p>
      <w:pPr>
        <w:pStyle w:val="BodyText"/>
      </w:pPr>
      <w:r>
        <w:rPr>
          <w:b/>
        </w:rPr>
        <w:t xml:space="preserve">Responsabile del trattamento («Fornitore»)</w:t>
      </w:r>
      <w:r>
        <w:t xml:space="preserve">: Simone Scaffidi D., Consulente ICT, Piazza Merendino 6, 98071 Capo d'Orlando (ME), C.F. SCFSMN83R25G377C, P.IVA 03507360836, PEC simone.scaffididomianello@widipec.it.</w:t>
      </w:r>
    </w:p>
    <w:p>
      <w:pPr>
        <w:pStyle w:val="Heading2"/>
      </w:pPr>
      <w:bookmarkStart w:id="22" w:name="oggetto-e-durata"/>
      <w:r>
        <w:rPr>
          <w:color w:val="1F4E79"/>
        </w:rPr>
        <w:t xml:space="preserve">1. Oggetto e durata</w:t>
      </w:r>
      <w:bookmarkEnd w:id="22"/>
    </w:p>
    <w:p>
      <w:pPr>
        <w:pStyle w:val="FirstParagraph"/>
      </w:pPr>
      <w:r>
        <w:t xml:space="preserve">Il Cliente nomina il Fornitore Responsabile del trattamento dei dati personali necessari all'erogazione del servizio SegnaPresenze. La nomina ha la stessa durata del contratto di servizio e cessa con esso, fatti salvi gli obblighi di restituzione/cancellazione di cui al punto 9.</w:t>
      </w:r>
    </w:p>
    <w:p>
      <w:pPr>
        <w:pStyle w:val="Heading2"/>
      </w:pPr>
      <w:bookmarkStart w:id="23" w:name="Xfa2273e0f408da023b41a2129c042e4da54fbbb"/>
      <w:r>
        <w:rPr>
          <w:color w:val="1F4E79"/>
        </w:rPr>
        <w:t xml:space="preserve">2. Natura, finalità, categorie di dati e di interessati</w:t>
      </w:r>
      <w:bookmarkEnd w:id="23"/>
    </w:p>
    <w:tbl>
      <w:tblPr>
        <w:tblStyle w:val="Table"/>
        <w:tblW w:type="pct" w:w="0.0"/>
        <w:tblLook w:firstRow="0"/>
      </w:tblPr>
      <w:tblGrid/>
      <w:tr>
        <w:tc>
          <w:p>
            <w:pPr>
              <w:pStyle w:val="Compact"/>
              <w:jc w:val="left"/>
            </w:pPr>
            <w:r>
              <w:t xml:space="preserve">Natura e finalità</w:t>
            </w:r>
          </w:p>
        </w:tc>
        <w:tc>
          <w:p>
            <w:pPr>
              <w:pStyle w:val="Compact"/>
              <w:jc w:val="left"/>
            </w:pPr>
            <w:r>
              <w:t xml:space="preserve">Registrazione e consultazione delle timbrature, gestione anagrafica, cartellini, ferie e permessi, report; hosting, backup, assistenza tecnica.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Categorie di dati</w:t>
            </w:r>
          </w:p>
        </w:tc>
        <w:tc>
          <w:p>
            <w:pPr>
              <w:pStyle w:val="Compact"/>
              <w:jc w:val="left"/>
            </w:pPr>
            <w:r>
              <w:t xml:space="preserve">Dati identificativi (nome, cognome, codice badge), sede/reparto/contratto, timbrature (data, ora, dispositivo, verso), richieste di assenza, saldi orari, registro operazioni, email e ruolo degli operatori.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Interessati</w:t>
            </w:r>
          </w:p>
        </w:tc>
        <w:tc>
          <w:p>
            <w:pPr>
              <w:pStyle w:val="Compact"/>
              <w:jc w:val="left"/>
            </w:pPr>
            <w:r>
              <w:t xml:space="preserve">Dipendenti e collaboratori del Cliente; operatori del Cliente con accesso alla piattaforma.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Dati particolari</w:t>
            </w:r>
          </w:p>
        </w:tc>
        <w:tc>
          <w:p>
            <w:pPr>
              <w:pStyle w:val="Compact"/>
              <w:jc w:val="left"/>
            </w:pPr>
            <w:r>
              <w:t xml:space="preserve">Non previsti. Il Cliente si impegna a non inserirli (es. motivi sanitari delle assenze) salvo accordo scritto.</w:t>
            </w:r>
          </w:p>
        </w:tc>
      </w:tr>
    </w:tbl>
    <w:p>
      <w:pPr>
        <w:pStyle w:val="Heading2"/>
      </w:pPr>
      <w:bookmarkStart w:id="24" w:name="istruzioni-del-titolare"/>
      <w:r>
        <w:rPr>
          <w:color w:val="1F4E79"/>
        </w:rPr>
        <w:t xml:space="preserve">3. Istruzioni del Titolare</w:t>
      </w:r>
      <w:bookmarkEnd w:id="24"/>
    </w:p>
    <w:p>
      <w:pPr>
        <w:pStyle w:val="FirstParagraph"/>
      </w:pPr>
      <w:r>
        <w:t xml:space="preserve">Il Fornitore tratta i dati esclusivamente su istruzione documentata del Cliente, rappresentata dal presente atto, dal contratto di servizio e dalle configurazioni effettuate dal Cliente nella piattaforma. Se ritiene che un'istruzione violi la normativa, ne informa tempestivamente il Cliente.</w:t>
      </w:r>
    </w:p>
    <w:p>
      <w:pPr>
        <w:pStyle w:val="Heading2"/>
      </w:pPr>
      <w:bookmarkStart w:id="25" w:name="riservatezza"/>
      <w:r>
        <w:rPr>
          <w:color w:val="1F4E79"/>
        </w:rPr>
        <w:t xml:space="preserve">4. Riservatezza</w:t>
      </w:r>
      <w:bookmarkEnd w:id="25"/>
    </w:p>
    <w:p>
      <w:pPr>
        <w:pStyle w:val="FirstParagraph"/>
      </w:pPr>
      <w:r>
        <w:t xml:space="preserve">Il Fornitore garantisce che le persone autorizzate al trattamento siano vincolate da obbligo di riservatezza e abbiano ricevuto adeguate istruzioni.</w:t>
      </w:r>
    </w:p>
    <w:p>
      <w:pPr>
        <w:pStyle w:val="Heading2"/>
      </w:pPr>
      <w:bookmarkStart w:id="26" w:name="misure-di-sicurezza-art.-32-gdpr"/>
      <w:r>
        <w:rPr>
          <w:color w:val="1F4E79"/>
        </w:rPr>
        <w:t xml:space="preserve">5. Misure di sicurezza (art. 32 GDPR)</w:t>
      </w:r>
      <w:bookmarkEnd w:id="26"/>
    </w:p>
    <w:p>
      <w:pPr>
        <w:numPr>
          <w:ilvl w:val="0"/>
          <w:numId w:val="1001"/>
        </w:numPr>
        <w:pStyle w:val="Compact"/>
      </w:pPr>
      <w:r>
        <w:t xml:space="preserve">Comunicazioni cifrate (HTTPS/TLS) e autenticazione con credenziali nominative e password conservate in forma cifrata (hash).</w:t>
      </w:r>
    </w:p>
    <w:p>
      <w:pPr>
        <w:numPr>
          <w:ilvl w:val="0"/>
          <w:numId w:val="1001"/>
        </w:numPr>
        <w:pStyle w:val="Compact"/>
      </w:pPr>
      <w:r>
        <w:t xml:space="preserve">Separazione logica dei dati tra clienti (multi-tenant) e profili di accesso per ruolo.</w:t>
      </w:r>
    </w:p>
    <w:p>
      <w:pPr>
        <w:numPr>
          <w:ilvl w:val="0"/>
          <w:numId w:val="1001"/>
        </w:numPr>
        <w:pStyle w:val="Compact"/>
      </w:pPr>
      <w:r>
        <w:t xml:space="preserve">Registro delle operazioni (audit log) sulle modifiche rilevanti.</w:t>
      </w:r>
    </w:p>
    <w:p>
      <w:pPr>
        <w:numPr>
          <w:ilvl w:val="0"/>
          <w:numId w:val="1001"/>
        </w:numPr>
        <w:pStyle w:val="Compact"/>
      </w:pPr>
      <w:r>
        <w:t xml:space="preserve">Backup periodici e ripristino gestiti dal fornitore di hosting; aggiornamenti di sicurezza dell'applicazione.</w:t>
      </w:r>
    </w:p>
    <w:p>
      <w:pPr>
        <w:numPr>
          <w:ilvl w:val="0"/>
          <w:numId w:val="1001"/>
        </w:numPr>
        <w:pStyle w:val="Compact"/>
      </w:pPr>
      <w:r>
        <w:t xml:space="preserve">Accesso del Fornitore ai dati limitato a quanto necessario per assistenza e manutenzione.</w:t>
      </w:r>
    </w:p>
    <w:p>
      <w:pPr>
        <w:pStyle w:val="Heading2"/>
      </w:pPr>
      <w:bookmarkStart w:id="27" w:name="sub-responsabili"/>
      <w:r>
        <w:rPr>
          <w:color w:val="1F4E79"/>
        </w:rPr>
        <w:t xml:space="preserve">6. Sub-responsabili</w:t>
      </w:r>
      <w:bookmarkEnd w:id="27"/>
    </w:p>
    <w:p>
      <w:pPr>
        <w:pStyle w:val="FirstParagraph"/>
      </w:pPr>
      <w:r>
        <w:t xml:space="preserve">Il Cliente autorizza in via generale il ricorso ai seguenti sub-responsabili:</w:t>
      </w:r>
      <w:r>
        <w:t xml:space="preserve"> </w:t>
      </w:r>
      <w:r>
        <w:rPr>
          <w:b/>
        </w:rPr>
        <w:t xml:space="preserve">Railway Corp.</w:t>
      </w:r>
      <w:r>
        <w:t xml:space="preserve"> </w:t>
      </w:r>
      <w:r>
        <w:t xml:space="preserve">(hosting applicazione e database);</w:t>
      </w:r>
      <w:r>
        <w:t xml:space="preserve"> </w:t>
      </w:r>
      <w:r>
        <w:rPr>
          <w:b/>
        </w:rPr>
        <w:t xml:space="preserve">GitHub, Inc.</w:t>
      </w:r>
      <w:r>
        <w:t xml:space="preserve"> </w:t>
      </w:r>
      <w:r>
        <w:t xml:space="preserve">(custodia del codice, nessun dato personale degli interessati). Il Fornitore impone loro obblighi equivalenti e risponde nei confronti del Cliente del loro operato. Eventuali nuovi sub-responsabili o sostituzioni sono comunicati al Cliente con preavviso di almeno 15 giorni; il Cliente può opporsi per giustificati motivi.</w:t>
      </w:r>
    </w:p>
    <w:p>
      <w:pPr>
        <w:pStyle w:val="Heading2"/>
      </w:pPr>
      <w:bookmarkStart w:id="28" w:name="trasferimenti-extra-see"/>
      <w:r>
        <w:rPr>
          <w:color w:val="1F4E79"/>
        </w:rPr>
        <w:t xml:space="preserve">7. Trasferimenti extra SEE</w:t>
      </w:r>
      <w:bookmarkEnd w:id="28"/>
    </w:p>
    <w:p>
      <w:pPr>
        <w:pStyle w:val="FirstParagraph"/>
      </w:pPr>
      <w:r>
        <w:t xml:space="preserve">Qualora i sub-responsabili trattino dati fuori dallo SEE, il trasferimento avviene sulla base di decisione di adeguatezza (es. EU-US Data Privacy Framework) o di clausole contrattuali standard della Commissione europea.</w:t>
      </w:r>
    </w:p>
    <w:p>
      <w:pPr>
        <w:pStyle w:val="Heading2"/>
      </w:pPr>
      <w:bookmarkStart w:id="29" w:name="assistenza-al-titolare"/>
      <w:r>
        <w:rPr>
          <w:color w:val="1F4E79"/>
        </w:rPr>
        <w:t xml:space="preserve">8. Assistenza al Titolare</w:t>
      </w:r>
      <w:bookmarkEnd w:id="29"/>
    </w:p>
    <w:p>
      <w:pPr>
        <w:pStyle w:val="FirstParagraph"/>
      </w:pPr>
      <w:r>
        <w:t xml:space="preserve">Il Fornitore assiste il Cliente, con misure tecniche e organizzative adeguate, nel riscontro alle richieste degli interessati (artt. 15-22), nella sicurezza, nelle valutazioni d'impatto e nelle consultazioni preventive (artt. 32-36). Informa il Cliente senza ingiustificato ritardo, e comunque entro 48 ore dalla conoscenza, di ogni violazione di dati personali (data breach) che lo riguardi.</w:t>
      </w:r>
    </w:p>
    <w:p>
      <w:pPr>
        <w:pStyle w:val="Heading2"/>
      </w:pPr>
      <w:bookmarkStart w:id="30" w:name="restituzione-e-cancellazione"/>
      <w:r>
        <w:rPr>
          <w:color w:val="1F4E79"/>
        </w:rPr>
        <w:t xml:space="preserve">9. Restituzione e cancellazione</w:t>
      </w:r>
      <w:bookmarkEnd w:id="30"/>
    </w:p>
    <w:p>
      <w:pPr>
        <w:pStyle w:val="FirstParagraph"/>
      </w:pPr>
      <w:r>
        <w:t xml:space="preserve">Alla cessazione del servizio il Fornitore, a scelta del Cliente, restituisce i dati in formato leggibile (es. CSV) entro 30 giorni e quindi li cancella, comprese le copie, salvo obblighi di conservazione di legge.</w:t>
      </w:r>
    </w:p>
    <w:p>
      <w:pPr>
        <w:pStyle w:val="Heading2"/>
      </w:pPr>
      <w:bookmarkStart w:id="31" w:name="audit"/>
      <w:r>
        <w:rPr>
          <w:color w:val="1F4E79"/>
        </w:rPr>
        <w:t xml:space="preserve">10. Audit</w:t>
      </w:r>
      <w:bookmarkEnd w:id="31"/>
    </w:p>
    <w:p>
      <w:pPr>
        <w:pStyle w:val="FirstParagraph"/>
      </w:pPr>
      <w:r>
        <w:t xml:space="preserve">Il Fornitore mette a disposizione le informazioni necessarie a dimostrare il rispetto dell'art. 28 e consente verifiche del Cliente, con ragionevole preavviso e senza pregiudizio per l'operatività e la riservatezza degli altri clienti.</w:t>
      </w:r>
    </w:p>
    <w:p>
      <w:pPr>
        <w:pStyle w:val="Heading2"/>
      </w:pPr>
      <w:bookmarkStart w:id="32" w:name="obblighi-del-titolare"/>
      <w:r>
        <w:rPr>
          <w:color w:val="1F4E79"/>
        </w:rPr>
        <w:t xml:space="preserve">11. Obblighi del Titolare</w:t>
      </w:r>
      <w:bookmarkEnd w:id="32"/>
    </w:p>
    <w:p>
      <w:pPr>
        <w:pStyle w:val="FirstParagraph"/>
      </w:pPr>
      <w:r>
        <w:t xml:space="preserve">Il Cliente è responsabile della liceità del trattamento: individuazione della base giuridica, informativa ai lavoratori (artt. 13-14 GDPR), rispetto della disciplina giuslavoristica applicabile (inclusa, ove pertinente, la L. 300/1970) e correttezza dei dati inseriti.</w:t>
      </w:r>
    </w:p>
    <w:p>
      <w:pPr>
        <w:pStyle w:val="Heading2"/>
      </w:pPr>
      <w:bookmarkStart w:id="33" w:name="legge-applicabile"/>
      <w:r>
        <w:rPr>
          <w:color w:val="1F4E79"/>
        </w:rPr>
        <w:t xml:space="preserve">12. Legge applicabile</w:t>
      </w:r>
      <w:bookmarkEnd w:id="33"/>
    </w:p>
    <w:p>
      <w:pPr>
        <w:pStyle w:val="FirstParagraph"/>
      </w:pPr>
      <w:r>
        <w:t xml:space="preserve">Legge italiana. Per quanto non previsto valgono il GDPR e il D.Lgs. 196/2003.</w:t>
      </w:r>
    </w:p>
    <w:p>
      <w:pPr>
        <w:pStyle w:val="BodyText"/>
      </w:pPr>
      <w:r>
        <w:t xml:space="preserve">Luogo e data: ________________</w:t>
      </w:r>
    </w:p>
    <w:p>
      <w:pPr>
        <w:pStyle w:val="BodyText"/>
      </w:pPr>
      <w:r>
        <w:br/>
      </w:r>
      <w:r>
        <w:t xml:space="preserve">Il Titolare / Cliente: ______________________     Il Fornitore: ______________________</w:t>
      </w:r>
    </w:p>
    <w:sectPr>
      <w:headerReference w:type="default" r:id="rId9"/>
      <w:footerReference w:type="default" r:id="rId10"/>
      <w:pgSz w:w="11906" w:h="16838"/>
      <w:pgMar w:left="1134" w:right="1134" w:top="1814" w:bottom="170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120000" cy="64169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41690"/>
                  </a:xfrm>
                  <a:prstGeom prst="rect"/>
                </pic:spPr>
              </pic:pic>
            </a:graphicData>
          </a:graphic>
        </wp:inline>
      </w:drawing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732264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_header_trimm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264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Arial" w:hAnsi="Arial"/>
    </w:rPr>
  </w:style>
  <w:style w:type="paragraph" w:styleId="BodyText">
    <w:name w:val="Body Text"/>
    <w:basedOn w:val="Normal"/>
    <w:link w:val="BodyTextChar"/>
    <w:pPr>
      <w:spacing w:before="180" w:after="180"/>
    </w:pPr>
    <w:qFormat/>
    <w:rPr>
      <w:rFonts w:ascii="Arial" w:hAnsi="Arial"/>
    </w:rPr>
  </w:style>
  <w:style w:type="paragraph" w:customStyle="1" w:styleId="FirstParagraph">
    <w:name w:val="First Paragraph"/>
    <w:basedOn w:val="BodyText"/>
    <w:next w:val="BodyText"/>
    <w:qFormat/>
    <w:rPr>
      <w:rFonts w:ascii="Arial" w:hAnsi="Arial"/>
    </w:rPr>
  </w:style>
  <w:style w:type="paragraph" w:customStyle="1" w:styleId="Compact">
    <w:name w:val="Compact"/>
    <w:basedOn w:val="BodyText"/>
    <w:qFormat/>
    <w:pPr>
      <w:spacing w:before="36" w:after="36"/>
    </w:pPr>
    <w:rPr>
      <w:rFonts w:ascii="Arial" w:hAnsi="Arial"/>
    </w:r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 w:ascii="Arial" w:hAnsi="Arial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rFonts w:ascii="Arial" w:hAnsi="Arial"/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  <w:rPr>
      <w:rFonts w:ascii="Arial" w:hAnsi="Arial"/>
    </w:rPr>
  </w:style>
  <w:style w:type="paragraph" w:styleId="Date">
    <w:name w:val="Date"/>
    <w:next w:val="BodyText"/>
    <w:qFormat/>
    <w:pPr>
      <w:keepNext/>
      <w:keepLines/>
      <w:jc w:val="center"/>
    </w:pPr>
    <w:rPr>
      <w:rFonts w:ascii="Arial" w:hAnsi="Arial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rFonts w:ascii="Arial" w:hAnsi="Arial"/>
      <w:sz w:val="20"/>
      <w:szCs w:val="20"/>
    </w:rPr>
  </w:style>
  <w:style w:type="paragraph" w:styleId="Bibliography">
    <w:name w:val="Bibliography"/>
    <w:basedOn w:val="Normal"/>
    <w:next w:val="Bibliography"/>
    <w:qFormat/>
    <w:pPr/>
    <w:rPr>
      <w:rFonts w:ascii="Arial" w:hAnsi="Arial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  <w:rPr>
      <w:rFonts w:ascii="Arial" w:hAnsi="Arial"/>
    </w:rPr>
  </w:style>
  <w:style w:type="paragraph" w:styleId="FootnoteText">
    <w:name w:val="Footnote Text"/>
    <w:basedOn w:val="Normal"/>
    <w:next w:val="FootnoteText"/>
    <w:uiPriority w:val="9"/>
    <w:unhideWhenUsed/>
    <w:qFormat/>
    <w:rPr>
      <w:rFonts w:ascii="Arial" w:hAnsi="Arial"/>
    </w:r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type="paragraph" w:customStyle="1" w:styleId="Definition">
    <w:name w:val="Definition"/>
    <w:basedOn w:val="Normal"/>
    <w:rPr>
      <w:rFonts w:ascii="Arial" w:hAnsi="Arial"/>
    </w:rPr>
  </w:style>
  <w:style w:type="paragraph" w:styleId="Caption">
    <w:name w:val="Caption"/>
    <w:basedOn w:val="Normal"/>
    <w:link w:val="BodyTextChar"/>
    <w:pPr>
      <w:spacing w:before="0" w:after="120"/>
    </w:pPr>
    <w:rPr>
      <w:rFonts w:ascii="Arial" w:hAnsi="Arial"/>
      <w:i/>
    </w:rPr>
  </w:style>
  <w:style w:type="paragraph" w:customStyle="1" w:styleId="TableCaption">
    <w:name w:val="Table Caption"/>
    <w:basedOn w:val="Caption"/>
    <w:pPr>
      <w:keepNext/>
    </w:pPr>
    <w:rPr>
      <w:rFonts w:ascii="Arial" w:hAnsi="Arial"/>
    </w:rPr>
  </w:style>
  <w:style w:type="paragraph" w:customStyle="1" w:styleId="ImageCaption">
    <w:name w:val="Image Caption"/>
    <w:basedOn w:val="Caption"/>
    <w:rPr>
      <w:rFonts w:ascii="Arial" w:hAnsi="Arial"/>
    </w:rPr>
  </w:style>
  <w:style w:type="paragraph" w:customStyle="1" w:styleId="Figure">
    <w:name w:val="Figure"/>
    <w:basedOn w:val="Normal"/>
    <w:rPr>
      <w:rFonts w:ascii="Arial" w:hAnsi="Arial"/>
    </w:rPr>
  </w:style>
  <w:style w:type="paragraph" w:customStyle="1" w:styleId="CaptionedFigure">
    <w:name w:val="Captioned Figure"/>
    <w:basedOn w:val="Figure"/>
    <w:pPr>
      <w:keepNext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 w:ascii="Arial" w:hAnsi="Arial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Arial" w:hAnsi="Arial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2026-10-09T09:40:07Z</dcterms:created>
  <dcterms:modified xsi:type="dcterms:W3CDTF">2026-10-09T09:40:07Z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