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4" Type="http://schemas.openxmlformats.org/officeDocument/2006/relationships/extended-properties" Target="docProps/app.xml"/><Relationship Id="rId3" Type="http://schemas.openxmlformats.org/package/2006/relationships/metadata/core-properties" Target="docProps/core.xml"/><Relationship Id="rId5" Type="http://schemas.openxmlformats.org/officeDocument/2006/relationships/custom-properties" Target="docProps/custom.xml"/></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Heading1"/>
      </w:pPr>
      <w:bookmarkStart w:id="20" w:name="condizioni-generali-di-servizio"/>
      <w:r>
        <w:rPr>
          <w:color w:val="1F4E79"/>
        </w:rPr>
        <w:t xml:space="preserve">Condizioni generali di servizio</w:t>
      </w:r>
      <w:bookmarkEnd w:id="20"/>
    </w:p>
    <w:p>
      <w:pPr>
        <w:pStyle w:val="FirstParagraph"/>
      </w:pPr>
      <w:r>
        <w:rPr>
          <w:i/>
        </w:rPr>
        <w:t xml:space="preserve">SegnaPresenze — rilevazione presenze con badge RFID</w:t>
      </w:r>
    </w:p>
    <w:p>
      <w:pPr>
        <w:pStyle w:val="BodyText"/>
      </w:pPr>
      <w:r>
        <w:rPr>
          <w:b/>
        </w:rPr>
        <w:t xml:space="preserve">[Documento modificabile: personalizzare i campi tra parentesi o con la riga ____ prima dell'uso. Si raccomanda la revisione da parte di un legale o del proprio consulente.]</w:t>
      </w:r>
    </w:p>
    <w:p>
      <w:pPr>
        <w:pStyle w:val="BodyText"/>
      </w:pPr>
      <w:r>
        <w:t xml:space="preserve">Condizioni generali del servizio</w:t>
      </w:r>
      <w:r>
        <w:t xml:space="preserve"> </w:t>
      </w:r>
      <w:r>
        <w:rPr>
          <w:b/>
        </w:rPr>
        <w:t xml:space="preserve">SegnaPresenze</w:t>
      </w:r>
      <w:r>
        <w:t xml:space="preserve"> </w:t>
      </w:r>
      <w:r>
        <w:t xml:space="preserve">— versione 1.0 — 7 ottobre 2026</w:t>
      </w:r>
    </w:p>
    <w:p>
      <w:pPr>
        <w:pStyle w:val="Heading2"/>
      </w:pPr>
      <w:bookmarkStart w:id="21" w:name="parti-e-oggetto"/>
      <w:r>
        <w:rPr>
          <w:color w:val="1F4E79"/>
        </w:rPr>
        <w:t xml:space="preserve">1. Parti e oggetto</w:t>
      </w:r>
      <w:bookmarkEnd w:id="21"/>
    </w:p>
    <w:p>
      <w:pPr>
        <w:pStyle w:val="FirstParagraph"/>
      </w:pPr>
      <w:r>
        <w:t xml:space="preserve">Le presenti condizioni regolano la fornitura del servizio SegnaPresenze (applicazione web per la rilevazione presenze con badge RFID, compatibile con terminali Anviz W1 Pro) da parte di Simone Scaffidi D., Consulente ICT, Piazza Merendino 6, 98071 Capo d'Orlando (ME), C.F. SCFSMN83R25G377C, P.IVA 03507360836, PEC simone.scaffididomianello@widipec.it («Fornitore») all'azienda cliente («Cliente»). Corrispettivo, durata e dotazione sono indicati nell'offerta o nel contratto sottoscritto, che prevale in caso di contrasto.</w:t>
      </w:r>
    </w:p>
    <w:p>
      <w:pPr>
        <w:pStyle w:val="Heading2"/>
      </w:pPr>
      <w:bookmarkStart w:id="22" w:name="attivazione-e-account"/>
      <w:r>
        <w:rPr>
          <w:color w:val="1F4E79"/>
        </w:rPr>
        <w:t xml:space="preserve">2. Attivazione e account</w:t>
      </w:r>
      <w:bookmarkEnd w:id="22"/>
    </w:p>
    <w:p>
      <w:pPr>
        <w:pStyle w:val="FirstParagraph"/>
      </w:pPr>
      <w:r>
        <w:t xml:space="preserve">Il Fornitore crea l'azienda del Cliente e gli account degli operatori. Le credenziali sono personali; il Cliente risponde dell'uso che ne fanno i propri operatori e avvisa subito il Fornitore in caso di accessi non autorizzati.</w:t>
      </w:r>
    </w:p>
    <w:p>
      <w:pPr>
        <w:pStyle w:val="Heading2"/>
      </w:pPr>
      <w:bookmarkStart w:id="23" w:name="servizio-e-livelli-di-servizio"/>
      <w:r>
        <w:rPr>
          <w:color w:val="1F4E79"/>
        </w:rPr>
        <w:t xml:space="preserve">3. Servizio e livelli di servizio</w:t>
      </w:r>
      <w:bookmarkEnd w:id="23"/>
    </w:p>
    <w:p>
      <w:pPr>
        <w:pStyle w:val="FirstParagraph"/>
      </w:pPr>
      <w:r>
        <w:t xml:space="preserve">Il Fornitore opera con diligenza per garantire la disponibilità del servizio, senza garanzia di assenza di interruzioni. Le manutenzioni programmate sono comunicate quando possibile. Il funzionamento dei terminali dipende anche da rete e alimentazione presso il Cliente. Eventuali livelli di servizio specifici si concordano per iscritto.</w:t>
      </w:r>
    </w:p>
    <w:p>
      <w:pPr>
        <w:pStyle w:val="Heading2"/>
      </w:pPr>
      <w:bookmarkStart w:id="24" w:name="obblighi-del-cliente"/>
      <w:r>
        <w:rPr>
          <w:color w:val="1F4E79"/>
        </w:rPr>
        <w:t xml:space="preserve">4. Obblighi del Cliente</w:t>
      </w:r>
      <w:bookmarkEnd w:id="24"/>
    </w:p>
    <w:p>
      <w:pPr>
        <w:numPr>
          <w:ilvl w:val="0"/>
          <w:numId w:val="1001"/>
        </w:numPr>
        <w:pStyle w:val="Compact"/>
      </w:pPr>
      <w:r>
        <w:t xml:space="preserve">Utilizzare il servizio nel rispetto della legge e delle presenti condizioni; non aggirare le misure di sicurezza né rivendere o sublicenziare l'accesso.</w:t>
      </w:r>
    </w:p>
    <w:p>
      <w:pPr>
        <w:numPr>
          <w:ilvl w:val="0"/>
          <w:numId w:val="1001"/>
        </w:numPr>
        <w:pStyle w:val="Compact"/>
      </w:pPr>
      <w:r>
        <w:t xml:space="preserve">Fornire ai lavoratori l'informativa privacy e adempiere agli obblighi giuslavoristici applicabili alla rilevazione presenze.</w:t>
      </w:r>
    </w:p>
    <w:p>
      <w:pPr>
        <w:numPr>
          <w:ilvl w:val="0"/>
          <w:numId w:val="1001"/>
        </w:numPr>
        <w:pStyle w:val="Compact"/>
      </w:pPr>
      <w:r>
        <w:t xml:space="preserve">Verificare l'esattezza di cartellini e report prima di usarli a fini di paga o di legge.</w:t>
      </w:r>
    </w:p>
    <w:p>
      <w:pPr>
        <w:pStyle w:val="Heading2"/>
      </w:pPr>
      <w:bookmarkStart w:id="25" w:name="protezione-dei-dati"/>
      <w:r>
        <w:rPr>
          <w:color w:val="1F4E79"/>
        </w:rPr>
        <w:t xml:space="preserve">5. Protezione dei dati</w:t>
      </w:r>
      <w:bookmarkEnd w:id="25"/>
    </w:p>
    <w:p>
      <w:pPr>
        <w:pStyle w:val="FirstParagraph"/>
      </w:pPr>
      <w:r>
        <w:t xml:space="preserve">Per i dati dei lavoratori il Cliente è Titolare e il Fornitore Responsabile ai sensi dell'art. 28 GDPR, secondo l'atto di nomina sottoscritto dalle parti, che costituisce parte integrante del contratto.</w:t>
      </w:r>
    </w:p>
    <w:p>
      <w:pPr>
        <w:pStyle w:val="Heading2"/>
      </w:pPr>
      <w:bookmarkStart w:id="26" w:name="proprietà-intellettuale"/>
      <w:r>
        <w:rPr>
          <w:color w:val="1F4E79"/>
        </w:rPr>
        <w:t xml:space="preserve">6. Proprietà intellettuale</w:t>
      </w:r>
      <w:bookmarkEnd w:id="26"/>
    </w:p>
    <w:p>
      <w:pPr>
        <w:pStyle w:val="FirstParagraph"/>
      </w:pPr>
      <w:r>
        <w:t xml:space="preserve">Software, marchi e documentazione restano del Fornitore. Al Cliente è concesso un diritto d'uso non esclusivo e non trasferibile per la durata del rapporto. I dati inseriti restano del Cliente.</w:t>
      </w:r>
    </w:p>
    <w:p>
      <w:pPr>
        <w:pStyle w:val="Heading2"/>
      </w:pPr>
      <w:bookmarkStart w:id="27" w:name="corrispettivi-e-pagamenti"/>
      <w:r>
        <w:rPr>
          <w:color w:val="1F4E79"/>
        </w:rPr>
        <w:t xml:space="preserve">7. Corrispettivi e pagamenti</w:t>
      </w:r>
      <w:bookmarkEnd w:id="27"/>
    </w:p>
    <w:p>
      <w:pPr>
        <w:pStyle w:val="FirstParagraph"/>
      </w:pPr>
      <w:r>
        <w:t xml:space="preserve">Secondo l'offerta accettata. In assenza di diversa pattuizione le fatture sono pagabili a 30 giorni data fattura; in caso di ritardo decorrono gli interessi di legge (D.Lgs. 231/2002). Il Fornitore può sospendere il servizio in caso di mora superiore a 30 giorni, previo avviso scritto.</w:t>
      </w:r>
    </w:p>
    <w:p>
      <w:pPr>
        <w:pStyle w:val="Heading2"/>
      </w:pPr>
      <w:bookmarkStart w:id="28" w:name="responsabilità"/>
      <w:r>
        <w:rPr>
          <w:color w:val="1F4E79"/>
        </w:rPr>
        <w:t xml:space="preserve">8. Responsabilità</w:t>
      </w:r>
      <w:bookmarkEnd w:id="28"/>
    </w:p>
    <w:p>
      <w:pPr>
        <w:pStyle w:val="FirstParagraph"/>
      </w:pPr>
      <w:r>
        <w:t xml:space="preserve">Nei limiti consentiti dalla legge il Fornitore non risponde di danni indiretti, mancati guadagni o perdite derivanti da dati errati inseriti dal Cliente, malfunzionamenti dei terminali o di infrastrutture di terzi; la responsabilità complessiva è limitata ai corrispettivi pagati nei dodici mesi precedenti l'evento. Restano ferme le responsabilità non escludibili per legge.</w:t>
      </w:r>
    </w:p>
    <w:p>
      <w:pPr>
        <w:pStyle w:val="Heading2"/>
      </w:pPr>
      <w:bookmarkStart w:id="29" w:name="durata-recesso-e-restituzione-dei-dati"/>
      <w:r>
        <w:rPr>
          <w:color w:val="1F4E79"/>
        </w:rPr>
        <w:t xml:space="preserve">9. Durata, recesso e restituzione dei dati</w:t>
      </w:r>
      <w:bookmarkEnd w:id="29"/>
    </w:p>
    <w:p>
      <w:pPr>
        <w:pStyle w:val="FirstParagraph"/>
      </w:pPr>
      <w:r>
        <w:t xml:space="preserve">Durata e preavviso di recesso sono indicati nell'offerta. Alla cessazione il Cliente può chiedere l'esportazione dei propri dati in formato leggibile entro 30 giorni; decorso tale termine i dati sono cancellati, salvo obblighi di legge.</w:t>
      </w:r>
    </w:p>
    <w:p>
      <w:pPr>
        <w:pStyle w:val="Heading2"/>
      </w:pPr>
      <w:bookmarkStart w:id="30" w:name="modifiche"/>
      <w:r>
        <w:rPr>
          <w:color w:val="1F4E79"/>
        </w:rPr>
        <w:t xml:space="preserve">10. Modifiche</w:t>
      </w:r>
      <w:bookmarkEnd w:id="30"/>
    </w:p>
    <w:p>
      <w:pPr>
        <w:pStyle w:val="FirstParagraph"/>
      </w:pPr>
      <w:r>
        <w:t xml:space="preserve">Il Fornitore può aggiornare le condizioni; le modifiche sostanziali sono comunicate con ragionevole preavviso. Il Cliente che non le accetta può recedere.</w:t>
      </w:r>
    </w:p>
    <w:p>
      <w:pPr>
        <w:pStyle w:val="Heading2"/>
      </w:pPr>
      <w:bookmarkStart w:id="31" w:name="legge-e-foro"/>
      <w:r>
        <w:rPr>
          <w:color w:val="1F4E79"/>
        </w:rPr>
        <w:t xml:space="preserve">11. Legge e foro</w:t>
      </w:r>
      <w:bookmarkEnd w:id="31"/>
    </w:p>
    <w:p>
      <w:pPr>
        <w:pStyle w:val="FirstParagraph"/>
      </w:pPr>
      <w:r>
        <w:t xml:space="preserve">Legge italiana. Foro competente: quello del luogo di sede del Fornitore, salvi i fori inderogabili previsti per i consumatori.</w:t>
      </w:r>
    </w:p>
    <w:p>
      <w:pPr>
        <w:pStyle w:val="Heading2"/>
      </w:pPr>
      <w:bookmarkStart w:id="32" w:name="accettazione"/>
      <w:r>
        <w:rPr>
          <w:color w:val="1F4E79"/>
        </w:rPr>
        <w:t xml:space="preserve">12. Accettazione</w:t>
      </w:r>
      <w:bookmarkEnd w:id="32"/>
    </w:p>
    <w:p>
      <w:pPr>
        <w:pStyle w:val="FirstParagraph"/>
      </w:pPr>
      <w:r>
        <w:t xml:space="preserve">Il Cliente dichiara di aver letto e di approvare le presenti condizioni e, ai sensi degli artt. 1341-1342 c.c., specificamente gli artt. 3 (servizio), 8 (responsabilità), 9 (recesso) e 11 (foro).</w:t>
      </w:r>
    </w:p>
    <w:p>
      <w:pPr>
        <w:pStyle w:val="BodyText"/>
      </w:pPr>
      <w:r>
        <w:t xml:space="preserve">Luogo e data: ________________</w:t>
      </w:r>
    </w:p>
    <w:p>
      <w:pPr>
        <w:pStyle w:val="BodyText"/>
      </w:pPr>
      <w:r>
        <w:br/>
      </w:r>
      <w:r>
        <w:t xml:space="preserve">Il Titolare / Cliente: ______________________     Il Fornitore: ______________________</w:t>
      </w:r>
    </w:p>
    <w:sectPr>
      <w:headerReference w:type="default" r:id="rId9"/>
      <w:footerReference w:type="default" r:id="rId10"/>
      <w:pgSz w:w="11906" w:h="16838"/>
      <w:pgMar w:left="1134" w:right="1134" w:top="1814" w:bottom="170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drawing>
        <wp:inline xmlns:a="http://schemas.openxmlformats.org/drawingml/2006/main" xmlns:pic="http://schemas.openxmlformats.org/drawingml/2006/picture">
          <wp:extent cx="6120000" cy="641690"/>
          <wp:docPr id="1" name="Picture 1"/>
          <wp:cNvGraphicFramePr>
            <a:graphicFrameLocks noChangeAspect="1"/>
          </wp:cNvGraphicFramePr>
          <a:graphic>
            <a:graphicData uri="http://schemas.openxmlformats.org/drawingml/2006/picture">
              <pic:pic>
                <pic:nvPicPr>
                  <pic:cNvPr id="0" name="letterhead_footer.png"/>
                  <pic:cNvPicPr/>
                </pic:nvPicPr>
                <pic:blipFill>
                  <a:blip r:embed="rId1"/>
                  <a:stretch>
                    <a:fillRect/>
                  </a:stretch>
                </pic:blipFill>
                <pic:spPr>
                  <a:xfrm>
                    <a:off x="0" y="0"/>
                    <a:ext cx="6120000" cy="641690"/>
                  </a:xfrm>
                  <a:prstGeom prst="rect"/>
                </pic:spPr>
              </pic:pic>
            </a:graphicData>
          </a:graphic>
        </wp:inline>
      </w:drawing>
    </w:r>
  </w:p>
</w:ftr>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center"/>
    </w:pPr>
    <w:r>
      <w:drawing>
        <wp:inline xmlns:a="http://schemas.openxmlformats.org/drawingml/2006/main" xmlns:pic="http://schemas.openxmlformats.org/drawingml/2006/picture">
          <wp:extent cx="732264" cy="648000"/>
          <wp:docPr id="1" name="Picture 1"/>
          <wp:cNvGraphicFramePr>
            <a:graphicFrameLocks noChangeAspect="1"/>
          </wp:cNvGraphicFramePr>
          <a:graphic>
            <a:graphicData uri="http://schemas.openxmlformats.org/drawingml/2006/picture">
              <pic:pic>
                <pic:nvPicPr>
                  <pic:cNvPr id="0" name="letterhead_header_trimmed.png"/>
                  <pic:cNvPicPr/>
                </pic:nvPicPr>
                <pic:blipFill>
                  <a:blip r:embed="rId1"/>
                  <a:stretch>
                    <a:fillRect/>
                  </a:stretch>
                </pic:blipFill>
                <pic:spPr>
                  <a:xfrm>
                    <a:off x="0" y="0"/>
                    <a:ext cx="732264" cy="648000"/>
                  </a:xfrm>
                  <a:prstGeom prst="rect"/>
                </pic:spPr>
              </pic:pic>
            </a:graphicData>
          </a:graphic>
        </wp:inline>
      </w:drawing>
    </w:r>
  </w:p>
</w:hdr>
</file>

<file path=word/numbering.xml><?xml version="1.0" encoding="utf-8"?>
<w:numbering xmlns:w="http://schemas.openxmlformats.org/wordprocessingml/2006/main">
  <w:abstractNum w:abstractNumId="990">
    <w:nsid w:val="2c1ae401"/>
    <w:multiLevelType w:val="multilevel"/>
    <w:lvl w:ilvl="0">
      <w:numFmt w:val="bullet"/>
      <w:lvlText w:val=" "/>
      <w:lvlJc w:val="left"/>
      <w:pPr>
        <w:tabs>
          <w:tab w:val="num" w:pos="0"/>
        </w:tabs>
        <w:ind w:left="480" w:hanging="480"/>
      </w:pPr>
    </w:lvl>
    <w:lvl w:ilvl="1">
      <w:numFmt w:val="bullet"/>
      <w:lvlText w:val=" "/>
      <w:lvlJc w:val="left"/>
      <w:pPr>
        <w:tabs>
          <w:tab w:val="num" w:pos="720"/>
        </w:tabs>
        <w:ind w:left="1200" w:hanging="480"/>
      </w:pPr>
    </w:lvl>
    <w:lvl w:ilvl="2">
      <w:numFmt w:val="bullet"/>
      <w:lvlText w:val=" "/>
      <w:lvlJc w:val="left"/>
      <w:pPr>
        <w:tabs>
          <w:tab w:val="num" w:pos="1440"/>
        </w:tabs>
        <w:ind w:left="1920" w:hanging="480"/>
      </w:pPr>
    </w:lvl>
    <w:lvl w:ilvl="3">
      <w:numFmt w:val="bullet"/>
      <w:lvlText w:val=" "/>
      <w:lvlJc w:val="left"/>
      <w:pPr>
        <w:tabs>
          <w:tab w:val="num" w:pos="2160"/>
        </w:tabs>
        <w:ind w:left="2640" w:hanging="480"/>
      </w:pPr>
    </w:lvl>
    <w:lvl w:ilvl="4">
      <w:numFmt w:val="bullet"/>
      <w:lvlText w:val=" "/>
      <w:lvlJc w:val="left"/>
      <w:pPr>
        <w:tabs>
          <w:tab w:val="num" w:pos="2880"/>
        </w:tabs>
        <w:ind w:left="3360" w:hanging="480"/>
      </w:pPr>
    </w:lvl>
    <w:lvl w:ilvl="5">
      <w:numFmt w:val="bullet"/>
      <w:lvlText w:val=" "/>
      <w:lvlJc w:val="left"/>
      <w:pPr>
        <w:tabs>
          <w:tab w:val="num" w:pos="3600"/>
        </w:tabs>
        <w:ind w:left="4080" w:hanging="480"/>
      </w:pPr>
    </w:lvl>
    <w:lvl w:ilvl="6">
      <w:numFmt w:val="bullet"/>
      <w:lvlText w:val=" "/>
      <w:lvlJc w:val="left"/>
      <w:pPr>
        <w:tabs>
          <w:tab w:val="num" w:pos="4320"/>
        </w:tabs>
        <w:ind w:left="4800" w:hanging="480"/>
      </w:pPr>
    </w:lvl>
    <w:lvl w:ilvl="7">
      <w:numFmt w:val="bullet"/>
      <w:lvlText w:val=" "/>
      <w:lvlJc w:val="left"/>
      <w:pPr>
        <w:tabs>
          <w:tab w:val="num" w:pos="5040"/>
        </w:tabs>
        <w:ind w:left="5520" w:hanging="480"/>
      </w:pPr>
    </w:lvl>
    <w:lvl w:ilvl="8">
      <w:numFmt w:val="bullet"/>
      <w:lvlText w:val=" "/>
      <w:lvlJc w:val="left"/>
      <w:pPr>
        <w:tabs>
          <w:tab w:val="num" w:pos="5760"/>
        </w:tabs>
        <w:ind w:left="6240" w:hanging="480"/>
      </w:pPr>
    </w:lvl>
  </w:abstractNum>
  <w:abstractNum w:abstractNumId="991">
    <w:nsid w:val="ea454b4c"/>
    <w:multiLevelType w:val="multilevel"/>
    <w:lvl w:ilvl="0">
      <w:numFmt w:val="bullet"/>
      <w:lvlText w:val="•"/>
      <w:lvlJc w:val="left"/>
      <w:pPr>
        <w:tabs>
          <w:tab w:val="num" w:pos="0"/>
        </w:tabs>
        <w:ind w:left="480" w:hanging="480"/>
      </w:pPr>
    </w:lvl>
    <w:lvl w:ilvl="1">
      <w:numFmt w:val="bullet"/>
      <w:lvlText w:val="–"/>
      <w:lvlJc w:val="left"/>
      <w:pPr>
        <w:tabs>
          <w:tab w:val="num" w:pos="720"/>
        </w:tabs>
        <w:ind w:left="1200" w:hanging="480"/>
      </w:pPr>
    </w:lvl>
    <w:lvl w:ilvl="2">
      <w:numFmt w:val="bullet"/>
      <w:lvlText w:val="•"/>
      <w:lvlJc w:val="left"/>
      <w:pPr>
        <w:tabs>
          <w:tab w:val="num" w:pos="1440"/>
        </w:tabs>
        <w:ind w:left="1920" w:hanging="480"/>
      </w:pPr>
    </w:lvl>
    <w:lvl w:ilvl="3">
      <w:numFmt w:val="bullet"/>
      <w:lvlText w:val="–"/>
      <w:lvlJc w:val="left"/>
      <w:pPr>
        <w:tabs>
          <w:tab w:val="num" w:pos="2160"/>
        </w:tabs>
        <w:ind w:left="2640" w:hanging="480"/>
      </w:pPr>
    </w:lvl>
    <w:lvl w:ilvl="4">
      <w:numFmt w:val="bullet"/>
      <w:lvlText w:val="•"/>
      <w:lvlJc w:val="left"/>
      <w:pPr>
        <w:tabs>
          <w:tab w:val="num" w:pos="2880"/>
        </w:tabs>
        <w:ind w:left="3360" w:hanging="480"/>
      </w:pPr>
    </w:lvl>
    <w:lvl w:ilvl="5">
      <w:numFmt w:val="bullet"/>
      <w:lvlText w:val="–"/>
      <w:lvlJc w:val="left"/>
      <w:pPr>
        <w:tabs>
          <w:tab w:val="num" w:pos="3600"/>
        </w:tabs>
        <w:ind w:left="4080" w:hanging="480"/>
      </w:pPr>
    </w:lvl>
    <w:lvl w:ilvl="6">
      <w:numFmt w:val="bullet"/>
      <w:lvlText w:val="•"/>
      <w:lvlJc w:val="left"/>
      <w:pPr>
        <w:tabs>
          <w:tab w:val="num" w:pos="4320"/>
        </w:tabs>
        <w:ind w:left="4800" w:hanging="480"/>
      </w:pPr>
    </w:lvl>
    <w:lvl w:ilvl="7">
      <w:numFmt w:val="bullet"/>
      <w:lvlText w:val="–"/>
      <w:lvlJc w:val="left"/>
      <w:pPr>
        <w:tabs>
          <w:tab w:val="num" w:pos="5040"/>
        </w:tabs>
        <w:ind w:left="5520" w:hanging="480"/>
      </w:pPr>
    </w:lvl>
    <w:lvl w:ilvl="8">
      <w:numFmt w:val="bullet"/>
      <w:lvlText w:val="•"/>
      <w:lvlJc w:val="left"/>
      <w:pPr>
        <w:tabs>
          <w:tab w:val="num" w:pos="5760"/>
        </w:tabs>
        <w:ind w:left="6240" w:hanging="480"/>
      </w:pPr>
    </w:lvl>
  </w:abstractNum>
  <w:num w:numId="1000">
    <w:abstractNumId w:val="990"/>
  </w:num>
  <w:num w:numId="1001">
    <w:abstractNumId w:val="99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proofState w:spelling="clean" w:grammar="clean"/>
  <w:stylePaneFormatFilter w:val="0004"/>
  <w:footnotePr>
    <w:footnote w:id="-1"/>
    <w:footnote w:id="0"/>
  </w:footnotePr>
  <w:doNotTrackMoves/>
  <w:defaultTabStop w:val="720"/>
  <w:drawingGridHorizontalSpacing w:val="360"/>
  <w:drawingGridVerticalSpacing w:val="360"/>
  <w:displayHorizontalDrawingGridEvery w:val="0"/>
  <w:displayVerticalDrawingGridEvery w:val="0"/>
  <w:characterSpacingControl w:val="doNotCompress"/>
  <w:savePreviewPicture/>
  <w:rsids>
    <w:rsidRoot w:val="00590D07"/>
    <w:rsid w:val="00011C8B"/>
    <w:rsid w:val="004E29B3"/>
    <w:rsid w:val="00590D07"/>
    <w:rsid w:val="00784D58"/>
    <w:rsid w:val="008D6863"/>
    <w:rsid w:val="00B86B75"/>
    <w:rsid w:val="00BC48D5"/>
    <w:rsid w:val="00C36279"/>
    <w:rsid w:val="00E315A3"/>
  </w:rsids>
  <m:mathPr>
    <m:mathFont m:val="Lucida Grande"/>
    <m:brkBin m:val="before"/>
    <m:brkBinSub m:val="--"/>
    <m:smallFrac m:val="false"/>
    <m:dispDef m:val="false"/>
    <m:lMargin m:val="0"/>
    <m:rMargin m:val="0"/>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proofState w:spelling="clean" w:grammar="clean"/>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4"/>
        <w:szCs w:val="24"/>
        <w:lang w:val="en-US" w:eastAsia="en-US" w:bidi="ar-SA"/>
      </w:rPr>
    </w:rPrDefault>
    <w:pPrDefault>
      <w:pPr>
        <w:spacing w:after="200"/>
      </w:pPr>
    </w:pPrDefault>
  </w:docDefaults>
  <w:latentStyles w:defLockedState="0" w:defUIPriority="0" w:defSemiHidden="0" w:defUnhideWhenUsed="0" w:defQFormat="0" w:count="276"/>
  <w:style w:type="paragraph" w:default="1" w:styleId="Normal">
    <w:name w:val="Normal"/>
    <w:qFormat/>
    <w:rPr>
      <w:rFonts w:ascii="Arial" w:hAnsi="Arial"/>
    </w:rPr>
  </w:style>
  <w:style w:type="paragraph" w:styleId="BodyText">
    <w:name w:val="Body Text"/>
    <w:basedOn w:val="Normal"/>
    <w:link w:val="BodyTextChar"/>
    <w:pPr>
      <w:spacing w:before="180" w:after="180"/>
    </w:pPr>
    <w:qFormat/>
    <w:rPr>
      <w:rFonts w:ascii="Arial" w:hAnsi="Arial"/>
    </w:rPr>
  </w:style>
  <w:style w:type="paragraph" w:customStyle="1" w:styleId="FirstParagraph">
    <w:name w:val="First Paragraph"/>
    <w:basedOn w:val="BodyText"/>
    <w:next w:val="BodyText"/>
    <w:qFormat/>
    <w:rPr>
      <w:rFonts w:ascii="Arial" w:hAnsi="Arial"/>
    </w:rPr>
  </w:style>
  <w:style w:type="paragraph" w:customStyle="1" w:styleId="Compact">
    <w:name w:val="Compact"/>
    <w:basedOn w:val="BodyText"/>
    <w:qFormat/>
    <w:pPr>
      <w:spacing w:before="36" w:after="36"/>
    </w:pPr>
    <w:rPr>
      <w:rFonts w:ascii="Arial" w:hAnsi="Arial"/>
    </w:rPr>
  </w:style>
  <w:style w:type="paragraph" w:styleId="Title">
    <w:name w:val="Title"/>
    <w:basedOn w:val="Normal"/>
    <w:next w:val="BodyText"/>
    <w:qFormat/>
    <w:pPr>
      <w:keepNext/>
      <w:keepLines/>
      <w:spacing w:before="480" w:after="240"/>
      <w:jc w:val="center"/>
    </w:pPr>
    <w:rPr>
      <w:rFonts w:asciiTheme="majorHAnsi" w:eastAsiaTheme="majorEastAsia" w:hAnsiTheme="majorHAnsi" w:cstheme="majorBidi" w:ascii="Arial" w:hAnsi="Arial"/>
      <w:b/>
      <w:bCs/>
      <w:color w:val="345A8A" w:themeColor="accent1" w:themeShade="B5"/>
      <w:sz w:val="36"/>
      <w:szCs w:val="36"/>
    </w:rPr>
  </w:style>
  <w:style w:type="paragraph" w:styleId="Subtitle">
    <w:name w:val="Subtitle"/>
    <w:basedOn w:val="Title"/>
    <w:next w:val="BodyText"/>
    <w:qFormat/>
    <w:pPr>
      <w:keepNext/>
      <w:keepLines/>
      <w:spacing w:before="240" w:after="240"/>
      <w:jc w:val="center"/>
    </w:pPr>
    <w:rPr>
      <w:rFonts w:ascii="Arial" w:hAnsi="Arial"/>
      <w:sz w:val="30"/>
      <w:szCs w:val="30"/>
    </w:rPr>
  </w:style>
  <w:style w:type="paragraph" w:customStyle="1" w:styleId="Author">
    <w:name w:val="Author"/>
    <w:next w:val="BodyText"/>
    <w:qFormat/>
    <w:pPr>
      <w:keepNext/>
      <w:keepLines/>
      <w:jc w:val="center"/>
    </w:pPr>
    <w:rPr>
      <w:rFonts w:ascii="Arial" w:hAnsi="Arial"/>
    </w:rPr>
  </w:style>
  <w:style w:type="paragraph" w:styleId="Date">
    <w:name w:val="Date"/>
    <w:next w:val="BodyText"/>
    <w:qFormat/>
    <w:pPr>
      <w:keepNext/>
      <w:keepLines/>
      <w:jc w:val="center"/>
    </w:pPr>
    <w:rPr>
      <w:rFonts w:ascii="Arial" w:hAnsi="Arial"/>
    </w:rPr>
  </w:style>
  <w:style w:type="paragraph" w:customStyle="1" w:styleId="Abstract">
    <w:name w:val="Abstract"/>
    <w:basedOn w:val="Normal"/>
    <w:next w:val="BodyText"/>
    <w:qFormat/>
    <w:pPr>
      <w:keepNext/>
      <w:keepLines/>
      <w:spacing w:before="300" w:after="300"/>
    </w:pPr>
    <w:rPr>
      <w:rFonts w:ascii="Arial" w:hAnsi="Arial"/>
      <w:sz w:val="20"/>
      <w:szCs w:val="20"/>
    </w:rPr>
  </w:style>
  <w:style w:type="paragraph" w:styleId="Bibliography">
    <w:name w:val="Bibliography"/>
    <w:basedOn w:val="Normal"/>
    <w:next w:val="Bibliography"/>
    <w:qFormat/>
    <w:pPr/>
    <w:rPr>
      <w:rFonts w:ascii="Arial" w:hAnsi="Arial"/>
    </w:rPr>
  </w:style>
  <w:style w:type="paragraph" w:styleId="Heading1">
    <w:name w:val="Heading 1"/>
    <w:basedOn w:val="Normal"/>
    <w:next w:val="BodyText"/>
    <w:uiPriority w:val="9"/>
    <w:qFormat/>
    <w:pPr>
      <w:keepNext/>
      <w:keepLines/>
      <w:spacing w:before="480" w:after="0"/>
      <w:outlineLvl w:val="0"/>
    </w:pPr>
    <w:rPr>
      <w:rFonts w:asciiTheme="majorHAnsi" w:eastAsiaTheme="majorEastAsia" w:hAnsiTheme="majorHAnsi" w:cstheme="majorBidi" w:ascii="Arial" w:hAnsi="Arial"/>
      <w:b/>
      <w:bCs/>
      <w:color w:val="4F81BD" w:themeColor="accent1"/>
      <w:sz w:val="32"/>
      <w:szCs w:val="32"/>
    </w:rPr>
  </w:style>
  <w:style w:type="paragraph" w:styleId="Heading2">
    <w:name w:val="Heading 2"/>
    <w:basedOn w:val="Normal"/>
    <w:next w:val="BodyText"/>
    <w:uiPriority w:val="9"/>
    <w:unhideWhenUsed/>
    <w:qFormat/>
    <w:pPr>
      <w:keepNext/>
      <w:keepLines/>
      <w:spacing w:before="200" w:after="0"/>
      <w:outlineLvl w:val="1"/>
    </w:pPr>
    <w:rPr>
      <w:rFonts w:asciiTheme="majorHAnsi" w:eastAsiaTheme="majorEastAsia" w:hAnsiTheme="majorHAnsi" w:cstheme="majorBidi" w:ascii="Arial" w:hAnsi="Arial"/>
      <w:b/>
      <w:bCs/>
      <w:color w:val="4F81BD" w:themeColor="accent1"/>
      <w:sz w:val="28"/>
      <w:szCs w:val="28"/>
    </w:rPr>
  </w:style>
  <w:style w:type="paragraph" w:styleId="Heading3">
    <w:name w:val="Heading 3"/>
    <w:basedOn w:val="Normal"/>
    <w:next w:val="BodyText"/>
    <w:uiPriority w:val="9"/>
    <w:unhideWhenUsed/>
    <w:qFormat/>
    <w:pPr>
      <w:keepNext/>
      <w:keepLines/>
      <w:spacing w:before="200" w:after="0"/>
      <w:outlineLvl w:val="2"/>
    </w:pPr>
    <w:rPr>
      <w:rFonts w:asciiTheme="majorHAnsi" w:eastAsiaTheme="majorEastAsia" w:hAnsiTheme="majorHAnsi" w:cstheme="majorBidi" w:ascii="Arial" w:hAnsi="Arial"/>
      <w:b/>
      <w:bCs/>
      <w:color w:val="4F81BD" w:themeColor="accent1"/>
      <w:sz w:val="24"/>
      <w:szCs w:val="24"/>
    </w:rPr>
  </w:style>
  <w:style w:type="paragraph" w:styleId="Heading4">
    <w:name w:val="Heading 4"/>
    <w:basedOn w:val="Normal"/>
    <w:next w:val="BodyText"/>
    <w:uiPriority w:val="9"/>
    <w:unhideWhenUsed/>
    <w:qFormat/>
    <w:pPr>
      <w:keepNext/>
      <w:keepLines/>
      <w:spacing w:before="200" w:after="0"/>
      <w:outlineLvl w:val="3"/>
    </w:pPr>
    <w:rPr>
      <w:rFonts w:asciiTheme="majorHAnsi" w:eastAsiaTheme="majorEastAsia" w:hAnsiTheme="majorHAnsi" w:cstheme="majorBidi" w:ascii="Arial" w:hAnsi="Arial"/>
      <w:i/>
      <w:bCs/>
      <w:color w:val="4F81BD" w:themeColor="accent1"/>
      <w:sz w:val="24"/>
      <w:szCs w:val="24"/>
    </w:rPr>
  </w:style>
  <w:style w:type="paragraph" w:styleId="Heading5">
    <w:name w:val="Heading 5"/>
    <w:basedOn w:val="Normal"/>
    <w:next w:val="BodyText"/>
    <w:uiPriority w:val="9"/>
    <w:unhideWhenUsed/>
    <w:qFormat/>
    <w:pPr>
      <w:keepNext/>
      <w:keepLines/>
      <w:spacing w:before="200" w:after="0"/>
      <w:outlineLvl w:val="4"/>
    </w:pPr>
    <w:rPr>
      <w:rFonts w:asciiTheme="majorHAnsi" w:eastAsiaTheme="majorEastAsia" w:hAnsiTheme="majorHAnsi" w:cstheme="majorBidi" w:ascii="Arial" w:hAnsi="Arial"/>
      <w:iCs/>
      <w:color w:val="4F81BD" w:themeColor="accent1"/>
      <w:sz w:val="24"/>
      <w:szCs w:val="24"/>
    </w:rPr>
  </w:style>
  <w:style w:type="paragraph" w:styleId="Heading6">
    <w:name w:val="Heading 6"/>
    <w:basedOn w:val="Normal"/>
    <w:next w:val="BodyText"/>
    <w:uiPriority w:val="9"/>
    <w:unhideWhenUsed/>
    <w:qFormat/>
    <w:pPr>
      <w:keepNext/>
      <w:keepLines/>
      <w:spacing w:before="200" w:after="0"/>
      <w:outlineLvl w:val="5"/>
    </w:pPr>
    <w:rPr>
      <w:rFonts w:asciiTheme="majorHAnsi" w:eastAsiaTheme="majorEastAsia" w:hAnsiTheme="majorHAnsi" w:cstheme="majorBidi" w:ascii="Arial" w:hAnsi="Arial"/>
      <w:color w:val="4F81BD" w:themeColor="accent1"/>
      <w:sz w:val="24"/>
      <w:szCs w:val="24"/>
    </w:rPr>
  </w:style>
  <w:style w:type="paragraph" w:styleId="Heading7">
    <w:name w:val="Heading 7"/>
    <w:basedOn w:val="Normal"/>
    <w:next w:val="BodyText"/>
    <w:uiPriority w:val="9"/>
    <w:unhideWhenUsed/>
    <w:qFormat/>
    <w:pPr>
      <w:keepNext/>
      <w:keepLines/>
      <w:spacing w:before="200" w:after="0"/>
      <w:outlineLvl w:val="6"/>
    </w:pPr>
    <w:rPr>
      <w:rFonts w:asciiTheme="majorHAnsi" w:eastAsiaTheme="majorEastAsia" w:hAnsiTheme="majorHAnsi" w:cstheme="majorBidi" w:ascii="Arial" w:hAnsi="Arial"/>
      <w:color w:val="4F81BD" w:themeColor="accent1"/>
      <w:sz w:val="24"/>
      <w:szCs w:val="24"/>
    </w:rPr>
  </w:style>
  <w:style w:type="paragraph" w:styleId="Heading8">
    <w:name w:val="Heading 8"/>
    <w:basedOn w:val="Normal"/>
    <w:next w:val="BodyText"/>
    <w:uiPriority w:val="9"/>
    <w:unhideWhenUsed/>
    <w:qFormat/>
    <w:pPr>
      <w:keepNext/>
      <w:keepLines/>
      <w:spacing w:before="200" w:after="0"/>
      <w:outlineLvl w:val="7"/>
    </w:pPr>
    <w:rPr>
      <w:rFonts w:asciiTheme="majorHAnsi" w:eastAsiaTheme="majorEastAsia" w:hAnsiTheme="majorHAnsi" w:cstheme="majorBidi" w:ascii="Arial" w:hAnsi="Arial"/>
      <w:color w:val="4F81BD" w:themeColor="accent1"/>
      <w:sz w:val="24"/>
      <w:szCs w:val="24"/>
    </w:rPr>
  </w:style>
  <w:style w:type="paragraph" w:styleId="Heading9">
    <w:name w:val="Heading 9"/>
    <w:basedOn w:val="Normal"/>
    <w:next w:val="BodyText"/>
    <w:uiPriority w:val="9"/>
    <w:unhideWhenUsed/>
    <w:qFormat/>
    <w:pPr>
      <w:keepNext/>
      <w:keepLines/>
      <w:spacing w:before="200" w:after="0"/>
      <w:outlineLvl w:val="8"/>
    </w:pPr>
    <w:rPr>
      <w:rFonts w:asciiTheme="majorHAnsi" w:eastAsiaTheme="majorEastAsia" w:hAnsiTheme="majorHAnsi" w:cstheme="majorBidi" w:ascii="Arial" w:hAnsi="Arial"/>
      <w:color w:val="4F81BD" w:themeColor="accent1"/>
      <w:sz w:val="24"/>
      <w:szCs w:val="24"/>
    </w:rPr>
  </w:style>
  <w:style w:type="paragraph" w:styleId="BlockText">
    <w:name w:val="Block Text"/>
    <w:basedOn w:val="BodyText"/>
    <w:next w:val="BodyText"/>
    <w:uiPriority w:val="9"/>
    <w:unhideWhenUsed/>
    <w:qFormat/>
    <w:pPr>
      <w:spacing w:before="100" w:after="100"/>
      <w:ind w:firstLine="0" w:left="480" w:right="480"/>
    </w:pPr>
    <w:rPr>
      <w:rFonts w:ascii="Arial" w:hAnsi="Arial"/>
    </w:rPr>
  </w:style>
  <w:style w:type="paragraph" w:styleId="FootnoteText">
    <w:name w:val="Footnote Text"/>
    <w:basedOn w:val="Normal"/>
    <w:next w:val="FootnoteText"/>
    <w:uiPriority w:val="9"/>
    <w:unhideWhenUsed/>
    <w:qFormat/>
    <w:rPr>
      <w:rFonts w:ascii="Arial" w:hAnsi="Arial"/>
    </w:rPr>
  </w:style>
  <w:style w:type="character" w:default="1" w:styleId="DefaultParagraphFont">
    <w:name w:val="Default Paragraph Font"/>
    <w:semiHidden/>
    <w:unhideWhenUsed/>
  </w:style>
  <w:style w:type="table" w:default="1" w:styleId="Table">
    <w:name w:val="Table"/>
    <w:basedOn w:val="TableNormal"/>
    <w:semiHidden/>
    <w:unhideWhenUsed/>
    <w:qFormat/>
    <w:tblPr>
      <w:tblInd w:w="0" w:type="dxa"/>
      <w:tblCellMar>
        <w:top w:w="0" w:type="dxa"/>
        <w:left w:w="108" w:type="dxa"/>
        <w:bottom w:w="0" w:type="dxa"/>
        <w:right w:w="108" w:type="dxa"/>
      </w:tblCellMar>
    </w:tblPr>
  </w:style>
  <w:style w:type="paragraph" w:customStyle="1" w:styleId="DefinitionTerm">
    <w:name w:val="Definition Term"/>
    <w:basedOn w:val="Normal"/>
    <w:next w:val="Definition"/>
    <w:pPr>
      <w:keepNext/>
      <w:keepLines/>
      <w:spacing w:after="0"/>
    </w:pPr>
    <w:rPr>
      <w:rFonts w:ascii="Arial" w:hAnsi="Arial"/>
      <w:b/>
    </w:rPr>
  </w:style>
  <w:style w:type="paragraph" w:customStyle="1" w:styleId="Definition">
    <w:name w:val="Definition"/>
    <w:basedOn w:val="Normal"/>
    <w:rPr>
      <w:rFonts w:ascii="Arial" w:hAnsi="Arial"/>
    </w:rPr>
  </w:style>
  <w:style w:type="paragraph" w:styleId="Caption">
    <w:name w:val="Caption"/>
    <w:basedOn w:val="Normal"/>
    <w:link w:val="BodyTextChar"/>
    <w:pPr>
      <w:spacing w:before="0" w:after="120"/>
    </w:pPr>
    <w:rPr>
      <w:rFonts w:ascii="Arial" w:hAnsi="Arial"/>
      <w:i/>
    </w:rPr>
  </w:style>
  <w:style w:type="paragraph" w:customStyle="1" w:styleId="TableCaption">
    <w:name w:val="Table Caption"/>
    <w:basedOn w:val="Caption"/>
    <w:pPr>
      <w:keepNext/>
    </w:pPr>
    <w:rPr>
      <w:rFonts w:ascii="Arial" w:hAnsi="Arial"/>
    </w:rPr>
  </w:style>
  <w:style w:type="paragraph" w:customStyle="1" w:styleId="ImageCaption">
    <w:name w:val="Image Caption"/>
    <w:basedOn w:val="Caption"/>
    <w:rPr>
      <w:rFonts w:ascii="Arial" w:hAnsi="Arial"/>
    </w:rPr>
  </w:style>
  <w:style w:type="paragraph" w:customStyle="1" w:styleId="Figure">
    <w:name w:val="Figure"/>
    <w:basedOn w:val="Normal"/>
    <w:rPr>
      <w:rFonts w:ascii="Arial" w:hAnsi="Arial"/>
    </w:rPr>
  </w:style>
  <w:style w:type="paragraph" w:customStyle="1" w:styleId="CaptionedFigure">
    <w:name w:val="Captioned Figure"/>
    <w:basedOn w:val="Figure"/>
    <w:pPr>
      <w:keepNext/>
    </w:pPr>
    <w:rPr>
      <w:rFonts w:ascii="Arial" w:hAnsi="Arial"/>
    </w:rPr>
  </w:style>
  <w:style w:type="character" w:customStyle="1" w:styleId="BodyTextChar">
    <w:name w:val="Body Text Char"/>
    <w:basedOn w:val="DefaultParagraphFont"/>
    <w:link w:val="BodyText"/>
  </w:style>
  <w:style w:type="character" w:customStyle="1" w:styleId="VerbatimChar">
    <w:name w:val="Verbatim Char"/>
    <w:basedOn w:val="BodyTextChar"/>
    <w:rPr>
      <w:rFonts w:ascii="Consolas" w:hAnsi="Consolas"/>
      <w:sz w:val="22"/>
    </w:rPr>
  </w:style>
  <w:style w:type="character" w:styleId="FootnoteReference">
    <w:name w:val="Footnote Reference"/>
    <w:basedOn w:val="BodyTextChar"/>
    <w:rPr>
      <w:vertAlign w:val="superscript"/>
    </w:rPr>
  </w:style>
  <w:style w:type="character" w:styleId="Hyperlink">
    <w:name w:val="Hyperlink"/>
    <w:basedOn w:val="BodyTextChar"/>
    <w:rPr>
      <w:color w:val="4F81BD" w:themeColor="accent1"/>
    </w:rPr>
  </w:style>
  <w:style w:type="paragraph" w:styleId="TOCHeading">
    <w:name w:val="TOC Heading"/>
    <w:basedOn w:val="Heading1"/>
    <w:next w:val="BodyText"/>
    <w:uiPriority w:val="39"/>
    <w:unhideWhenUsed/>
    <w:qFormat/>
    <w:pPr>
      <w:spacing w:before="240" w:line="259" w:lineRule="auto"/>
      <w:outlineLvl w:val="9"/>
    </w:pPr>
    <w:rPr>
      <w:rFonts w:asciiTheme="majorHAnsi" w:eastAsiaTheme="majorEastAsia" w:hAnsiTheme="majorHAnsi" w:cstheme="majorBidi" w:ascii="Arial" w:hAnsi="Arial"/>
      <w:b w:val="0"/>
      <w:bCs w:val="0"/>
      <w:color w:val="365F91" w:themeColor="accent1" w:themeShade="BF"/>
    </w:rPr>
  </w:style>
  <w:style w:type="paragraph" w:customStyle="1" w:styleId="SourceCode">
    <w:name w:val="Source Code"/>
    <w:basedOn w:val="Normal"/>
    <w:link w:val="VerbatimChar"/>
    <w:pPr>
      <w:wordWrap w:val="off"/>
    </w:pPr>
    <w:rPr>
      <w:rFonts w:ascii="Arial" w:hAnsi="Arial"/>
    </w:r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 standalone='yes'?>
<Relationships xmlns="http://schemas.openxmlformats.org/package/2006/relationships"><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7" Type="http://schemas.openxmlformats.org/officeDocument/2006/relationships/footnotes" Target="footnotes.xml"/><Relationship Id="rId8" Type="http://schemas.openxmlformats.org/officeDocument/2006/relationships/comments" Target="comments.xml"/><Relationship Id="rId9" Type="http://schemas.openxmlformats.org/officeDocument/2006/relationships/header" Target="header1.xml"/><Relationship Id="rId10"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2026-10-09T09:40:07Z</dcterms:created>
  <dcterms:modified xsi:type="dcterms:W3CDTF">2026-10-09T09:40:07Z</dcterms:modified>
</cp:coreProperties>
</file>

<file path=docProps/custom.xml><?xml version="1.0" encoding="utf-8"?>
<Properties xmlns="http://schemas.openxmlformats.org/officeDocument/2006/custom-properties" xmlns:vt="http://schemas.openxmlformats.org/officeDocument/2006/docPropsVTypes"/>
</file>